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840" w:firstLineChars="200"/>
        <w:rPr>
          <w:rFonts w:ascii="方正小标宋简体" w:hAnsi="Times New Roman" w:eastAsia="方正小标宋简体" w:cs="Times New Roman"/>
          <w:sz w:val="40"/>
          <w:szCs w:val="32"/>
          <w:lang w:eastAsia="zh-CN"/>
        </w:rPr>
      </w:pPr>
      <w:r>
        <w:rPr>
          <w:rFonts w:hint="eastAsia" w:ascii="方正小标宋简体" w:hAnsi="Times New Roman" w:eastAsia="方正小标宋简体" w:cs="Times New Roman"/>
          <w:w w:val="105"/>
          <w:sz w:val="40"/>
          <w:szCs w:val="32"/>
          <w:lang w:eastAsia="zh-CN"/>
        </w:rPr>
        <w:t>图书馆免费开放项</w:t>
      </w:r>
      <w:r>
        <w:rPr>
          <w:rFonts w:hint="eastAsia" w:ascii="方正小标宋简体" w:hAnsi="Times New Roman" w:eastAsia="方正小标宋简体" w:cs="Times New Roman"/>
          <w:spacing w:val="-128"/>
          <w:w w:val="105"/>
          <w:sz w:val="40"/>
          <w:szCs w:val="32"/>
          <w:lang w:eastAsia="zh-CN"/>
        </w:rPr>
        <w:t xml:space="preserve"> </w:t>
      </w:r>
      <w:r>
        <w:rPr>
          <w:rFonts w:hint="eastAsia" w:ascii="方正小标宋简体" w:hAnsi="Times New Roman" w:eastAsia="方正小标宋简体" w:cs="Times New Roman"/>
          <w:spacing w:val="-15"/>
          <w:w w:val="105"/>
          <w:sz w:val="40"/>
          <w:szCs w:val="32"/>
          <w:lang w:eastAsia="zh-CN"/>
        </w:rPr>
        <w:t>目支出绩效评价报告</w:t>
      </w:r>
    </w:p>
    <w:p>
      <w:pPr>
        <w:spacing w:line="600" w:lineRule="exact"/>
        <w:ind w:firstLine="656" w:firstLineChars="200"/>
        <w:jc w:val="center"/>
        <w:rPr>
          <w:rFonts w:ascii="黑体" w:hAnsi="黑体" w:eastAsia="黑体" w:cs="Times New Roman"/>
          <w:spacing w:val="-4"/>
          <w:w w:val="105"/>
          <w:sz w:val="32"/>
          <w:szCs w:val="32"/>
          <w:lang w:eastAsia="zh-CN"/>
        </w:rPr>
      </w:pPr>
    </w:p>
    <w:p>
      <w:pPr>
        <w:spacing w:line="600" w:lineRule="exact"/>
        <w:ind w:firstLine="656" w:firstLineChars="200"/>
        <w:jc w:val="both"/>
        <w:rPr>
          <w:rFonts w:ascii="黑体" w:hAnsi="黑体" w:eastAsia="黑体" w:cs="Times New Roman"/>
          <w:sz w:val="32"/>
          <w:szCs w:val="32"/>
          <w:lang w:eastAsia="zh-CN"/>
        </w:rPr>
      </w:pPr>
      <w:bookmarkStart w:id="0" w:name="_GoBack"/>
      <w:r>
        <w:rPr>
          <w:rFonts w:ascii="黑体" w:hAnsi="黑体" w:eastAsia="黑体" w:cs="Times New Roman"/>
          <w:spacing w:val="-4"/>
          <w:w w:val="105"/>
          <w:sz w:val="32"/>
          <w:szCs w:val="32"/>
          <w:lang w:eastAsia="zh-CN"/>
        </w:rPr>
        <w:t>一、基本情况</w:t>
      </w:r>
    </w:p>
    <w:bookmarkEnd w:id="0"/>
    <w:p>
      <w:pPr>
        <w:adjustRightInd w:val="0"/>
        <w:snapToGrid w:val="0"/>
        <w:spacing w:line="600" w:lineRule="atLeast"/>
        <w:ind w:firstLine="640" w:firstLineChars="200"/>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（一）项目概况。</w:t>
      </w:r>
    </w:p>
    <w:p>
      <w:pPr>
        <w:adjustRightInd w:val="0"/>
        <w:snapToGrid w:val="0"/>
        <w:spacing w:line="600" w:lineRule="atLeast"/>
        <w:ind w:firstLine="640" w:firstLineChars="200"/>
        <w:rPr>
          <w:rFonts w:hint="eastAsia" w:ascii="仿宋_GB2312" w:eastAsia="仿宋_GB2312" w:cs="Times New Roman" w:hAnsiTheme="minorEastAsia"/>
          <w:sz w:val="32"/>
          <w:szCs w:val="32"/>
          <w:lang w:eastAsia="zh-CN"/>
        </w:rPr>
      </w:pPr>
      <w:r>
        <w:rPr>
          <w:rFonts w:hint="eastAsia" w:ascii="仿宋_GB2312" w:eastAsia="仿宋_GB2312" w:cs="Times New Roman" w:hAnsiTheme="minorEastAsia"/>
          <w:sz w:val="32"/>
          <w:szCs w:val="32"/>
          <w:lang w:eastAsia="zh-CN"/>
        </w:rPr>
        <w:t>为进一步加快我区公共文化服务体系建设，积极推进文化惠民及全民阅读工作，提高公共文化服务效能，大力建设书香津南，保障广大人民群众基本文化权益，实行图书馆免费开放。</w:t>
      </w:r>
    </w:p>
    <w:p>
      <w:pPr>
        <w:adjustRightInd w:val="0"/>
        <w:snapToGrid w:val="0"/>
        <w:spacing w:line="600" w:lineRule="atLeast"/>
        <w:ind w:firstLine="640" w:firstLineChars="200"/>
        <w:jc w:val="both"/>
        <w:rPr>
          <w:rFonts w:hint="eastAsia" w:ascii="仿宋_GB2312" w:eastAsia="仿宋_GB2312" w:cs="仿宋_GB2312" w:hAnsiTheme="minorEastAsia"/>
          <w:kern w:val="2"/>
          <w:sz w:val="32"/>
          <w:szCs w:val="32"/>
          <w:lang w:eastAsia="zh-CN"/>
        </w:rPr>
      </w:pPr>
      <w:r>
        <w:rPr>
          <w:rFonts w:hint="eastAsia" w:ascii="仿宋_GB2312" w:eastAsia="仿宋_GB2312" w:cs="仿宋_GB2312" w:hAnsiTheme="minorEastAsia"/>
          <w:kern w:val="2"/>
          <w:sz w:val="32"/>
          <w:szCs w:val="32"/>
          <w:lang w:eastAsia="zh-CN"/>
        </w:rPr>
        <w:t>项目实施依据：根据《财政部 文化部关于印发（中央补助地方美术馆 公共图书馆 文化馆免费开放专项资金管理暂行办法）》（财教【2013】97号）保障图书馆免费开放所需经费。</w:t>
      </w:r>
    </w:p>
    <w:p>
      <w:pPr>
        <w:spacing w:line="600" w:lineRule="exact"/>
        <w:ind w:firstLine="640" w:firstLineChars="200"/>
        <w:jc w:val="both"/>
        <w:rPr>
          <w:rFonts w:hint="eastAsia" w:ascii="仿宋_GB2312" w:eastAsia="仿宋_GB2312" w:cs="仿宋_GB2312" w:hAnsiTheme="minorEastAsia"/>
          <w:kern w:val="2"/>
          <w:sz w:val="32"/>
          <w:szCs w:val="32"/>
          <w:lang w:eastAsia="zh-CN"/>
        </w:rPr>
      </w:pPr>
      <w:r>
        <w:rPr>
          <w:rFonts w:hint="eastAsia" w:ascii="仿宋_GB2312" w:eastAsia="仿宋_GB2312" w:cs="仿宋_GB2312" w:hAnsiTheme="minorEastAsia"/>
          <w:kern w:val="2"/>
          <w:sz w:val="32"/>
          <w:szCs w:val="32"/>
          <w:lang w:eastAsia="zh-CN"/>
        </w:rPr>
        <w:t>项目预算情况：津南预算批复【2022】1号文批复2022年图书馆免费开放资金35万元（区级）</w:t>
      </w:r>
    </w:p>
    <w:p>
      <w:pPr>
        <w:numPr>
          <w:ilvl w:val="0"/>
          <w:numId w:val="1"/>
        </w:numPr>
        <w:spacing w:line="600" w:lineRule="exact"/>
        <w:ind w:firstLine="640" w:firstLineChars="200"/>
        <w:jc w:val="both"/>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项目绩效目标。</w:t>
      </w:r>
    </w:p>
    <w:p>
      <w:pPr>
        <w:spacing w:line="600" w:lineRule="exact"/>
        <w:ind w:firstLine="640" w:firstLineChars="200"/>
        <w:jc w:val="both"/>
        <w:rPr>
          <w:rFonts w:hint="eastAsia" w:ascii="仿宋_GB2312" w:eastAsia="仿宋_GB2312" w:cs="Times New Roman" w:hAnsiTheme="minorEastAsia"/>
          <w:sz w:val="32"/>
          <w:szCs w:val="32"/>
          <w:lang w:eastAsia="zh-CN"/>
        </w:rPr>
      </w:pPr>
      <w:r>
        <w:rPr>
          <w:rFonts w:hint="eastAsia" w:ascii="仿宋_GB2312" w:eastAsia="仿宋_GB2312" w:cs="Times New Roman" w:hAnsiTheme="minorEastAsia"/>
          <w:sz w:val="32"/>
          <w:szCs w:val="32"/>
          <w:lang w:eastAsia="zh-CN"/>
        </w:rPr>
        <w:t>通过开展《沽上讲堂》讲座、“好书伴我成长”读书活动、电子借阅数据更新及消防、自助设备网站维等，确保图书馆免费开放工作正常运行，确保加快我区公共文化服务体系建设。</w:t>
      </w:r>
    </w:p>
    <w:p>
      <w:pPr>
        <w:spacing w:line="600" w:lineRule="exact"/>
        <w:ind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二、绩效评价工作开展情况</w:t>
      </w:r>
    </w:p>
    <w:p>
      <w:pPr>
        <w:spacing w:line="600" w:lineRule="exact"/>
        <w:ind w:firstLine="640" w:firstLineChars="200"/>
        <w:jc w:val="both"/>
        <w:rPr>
          <w:rFonts w:ascii="仿宋_GB2312" w:hAnsi="Times New Roman" w:eastAsia="仿宋_GB2312" w:cs="Times New Roman"/>
          <w:sz w:val="32"/>
          <w:szCs w:val="32"/>
          <w:lang w:eastAsia="zh-CN"/>
        </w:rPr>
      </w:pP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lang w:eastAsia="zh-CN"/>
        </w:rPr>
        <w:t>绩效评价</w:t>
      </w:r>
      <w:r>
        <w:rPr>
          <w:rFonts w:ascii="Times New Roman" w:hAnsi="Times New Roman" w:eastAsia="仿宋_GB2312" w:cs="Times New Roman"/>
          <w:spacing w:val="-91"/>
          <w:sz w:val="32"/>
          <w:szCs w:val="32"/>
          <w:lang w:eastAsia="zh-CN"/>
        </w:rPr>
        <w:t xml:space="preserve"> </w:t>
      </w:r>
      <w:r>
        <w:rPr>
          <w:rFonts w:ascii="Times New Roman" w:hAnsi="Times New Roman" w:eastAsia="仿宋_GB2312" w:cs="Times New Roman"/>
          <w:spacing w:val="-10"/>
          <w:sz w:val="32"/>
          <w:szCs w:val="32"/>
          <w:lang w:eastAsia="zh-CN"/>
        </w:rPr>
        <w:t>目的</w:t>
      </w:r>
      <w:r>
        <w:rPr>
          <w:rFonts w:hint="eastAsia" w:ascii="仿宋_GB2312" w:hAnsi="Times New Roman" w:eastAsia="仿宋_GB2312" w:cs="Times New Roman"/>
          <w:sz w:val="32"/>
          <w:szCs w:val="32"/>
          <w:lang w:eastAsia="zh-CN"/>
        </w:rPr>
        <w:t>、对象和范围。</w:t>
      </w:r>
    </w:p>
    <w:p>
      <w:pPr>
        <w:spacing w:line="600" w:lineRule="exact"/>
        <w:ind w:firstLine="640" w:firstLineChars="200"/>
        <w:jc w:val="both"/>
        <w:rPr>
          <w:rFonts w:hint="eastAsia" w:ascii="仿宋_GB2312" w:eastAsia="仿宋_GB2312" w:cs="Times New Roman" w:hAnsiTheme="minorEastAsia"/>
          <w:sz w:val="32"/>
          <w:szCs w:val="32"/>
          <w:lang w:eastAsia="zh-CN"/>
        </w:rPr>
      </w:pPr>
      <w:r>
        <w:rPr>
          <w:rFonts w:hint="eastAsia" w:ascii="仿宋_GB2312" w:eastAsia="仿宋_GB2312" w:cs="Times New Roman" w:hAnsiTheme="minorEastAsia"/>
          <w:sz w:val="32"/>
          <w:szCs w:val="32"/>
          <w:lang w:eastAsia="zh-CN"/>
        </w:rPr>
        <w:t>绩效评价目的是评价绩效目标完成情况，是否达到预期效果，财政资金使用情况，是否符合预算执行情况。</w:t>
      </w:r>
    </w:p>
    <w:p>
      <w:pPr>
        <w:spacing w:line="600" w:lineRule="exact"/>
        <w:ind w:firstLine="640" w:firstLineChars="200"/>
        <w:jc w:val="both"/>
        <w:rPr>
          <w:rFonts w:ascii="Times New Roman" w:hAnsi="Times New Roman" w:eastAsia="仿宋_GB2312" w:cs="Times New Roman"/>
          <w:sz w:val="32"/>
          <w:szCs w:val="32"/>
          <w:lang w:eastAsia="zh-CN"/>
        </w:rPr>
      </w:pPr>
    </w:p>
    <w:p>
      <w:pPr>
        <w:spacing w:line="600" w:lineRule="exact"/>
        <w:ind w:firstLine="654" w:firstLineChars="200"/>
        <w:jc w:val="both"/>
        <w:rPr>
          <w:rFonts w:ascii="仿宋_GB2312" w:hAnsi="Times New Roman" w:eastAsia="仿宋_GB2312" w:cs="Times New Roman"/>
          <w:sz w:val="32"/>
          <w:szCs w:val="32"/>
          <w:lang w:eastAsia="zh-CN"/>
        </w:rPr>
      </w:pPr>
      <w:r>
        <w:rPr>
          <w:rFonts w:hint="eastAsia" w:ascii="仿宋_GB2312" w:hAnsi="Times New Roman" w:eastAsia="仿宋_GB2312" w:cs="Times New Roman"/>
          <w:spacing w:val="-1"/>
          <w:w w:val="103"/>
          <w:sz w:val="32"/>
          <w:szCs w:val="32"/>
          <w:lang w:eastAsia="zh-CN"/>
        </w:rPr>
        <w:t>（二）绩效评价原则</w:t>
      </w:r>
      <w:r>
        <w:rPr>
          <w:rFonts w:hint="eastAsia" w:ascii="仿宋_GB2312" w:hAnsi="Times New Roman" w:eastAsia="仿宋_GB2312" w:cs="Times New Roman"/>
          <w:spacing w:val="-106"/>
          <w:w w:val="103"/>
          <w:sz w:val="32"/>
          <w:szCs w:val="32"/>
          <w:lang w:eastAsia="zh-CN"/>
        </w:rPr>
        <w:t xml:space="preserve"> </w:t>
      </w:r>
      <w:r>
        <w:rPr>
          <w:rFonts w:hint="eastAsia" w:ascii="仿宋_GB2312" w:hAnsi="Times New Roman" w:eastAsia="仿宋_GB2312" w:cs="Times New Roman"/>
          <w:spacing w:val="-7"/>
          <w:w w:val="103"/>
          <w:sz w:val="32"/>
          <w:szCs w:val="32"/>
          <w:lang w:eastAsia="zh-CN"/>
        </w:rPr>
        <w:t>、评价指标体系</w:t>
      </w:r>
      <w:r>
        <w:rPr>
          <w:rFonts w:hint="eastAsia" w:ascii="仿宋_GB2312" w:hAnsi="Times New Roman" w:eastAsia="仿宋_GB2312" w:cs="Times New Roman"/>
          <w:spacing w:val="-2"/>
          <w:w w:val="103"/>
          <w:sz w:val="32"/>
          <w:szCs w:val="32"/>
          <w:lang w:eastAsia="zh-CN"/>
        </w:rPr>
        <w:t>（</w:t>
      </w:r>
      <w:r>
        <w:rPr>
          <w:rFonts w:hint="eastAsia" w:ascii="仿宋_GB2312" w:hAnsi="Times New Roman" w:eastAsia="仿宋_GB2312" w:cs="Times New Roman"/>
          <w:w w:val="104"/>
          <w:sz w:val="32"/>
          <w:szCs w:val="32"/>
          <w:lang w:eastAsia="zh-CN"/>
        </w:rPr>
        <w:t>附表说明</w:t>
      </w:r>
      <w:r>
        <w:rPr>
          <w:rFonts w:hint="eastAsia" w:ascii="仿宋_GB2312" w:hAnsi="Times New Roman" w:eastAsia="仿宋_GB2312" w:cs="Times New Roman"/>
          <w:spacing w:val="-2"/>
          <w:w w:val="103"/>
          <w:sz w:val="32"/>
          <w:szCs w:val="32"/>
          <w:lang w:eastAsia="zh-CN"/>
        </w:rPr>
        <w:t>）</w:t>
      </w:r>
      <w:r>
        <w:rPr>
          <w:rFonts w:hint="eastAsia" w:ascii="Times New Roman" w:hAnsi="Times New Roman" w:eastAsia="仿宋_GB2312" w:cs="Times New Roman"/>
          <w:sz w:val="32"/>
          <w:szCs w:val="32"/>
          <w:lang w:eastAsia="zh-CN"/>
        </w:rPr>
        <w:t>、评价方法、评价标准</w:t>
      </w:r>
      <w:r>
        <w:rPr>
          <w:rFonts w:hint="eastAsia" w:ascii="仿宋_GB2312" w:hAnsi="Times New Roman" w:eastAsia="仿宋_GB2312" w:cs="Times New Roman"/>
          <w:sz w:val="32"/>
          <w:szCs w:val="32"/>
          <w:lang w:eastAsia="zh-CN"/>
        </w:rPr>
        <w:t>等。</w:t>
      </w:r>
    </w:p>
    <w:p>
      <w:pPr>
        <w:spacing w:line="360" w:lineRule="auto"/>
        <w:ind w:firstLine="640" w:firstLineChars="200"/>
        <w:rPr>
          <w:rFonts w:hint="eastAsia" w:ascii="仿宋_GB2312" w:eastAsia="仿宋_GB2312" w:cs="Times New Roman" w:hAnsiTheme="minorEastAsia"/>
          <w:bCs/>
          <w:kern w:val="2"/>
          <w:sz w:val="32"/>
          <w:szCs w:val="32"/>
          <w:lang w:eastAsia="zh-CN"/>
        </w:rPr>
      </w:pPr>
      <w:r>
        <w:rPr>
          <w:rFonts w:hint="eastAsia" w:ascii="仿宋_GB2312" w:eastAsia="仿宋_GB2312" w:cs="Times New Roman" w:hAnsiTheme="minorEastAsia"/>
          <w:bCs/>
          <w:kern w:val="2"/>
          <w:sz w:val="32"/>
          <w:szCs w:val="32"/>
          <w:lang w:eastAsia="zh-CN"/>
        </w:rPr>
        <w:t>1、绩效评价指标体系及评价标准</w:t>
      </w:r>
    </w:p>
    <w:p>
      <w:pPr>
        <w:spacing w:line="360" w:lineRule="auto"/>
        <w:ind w:firstLine="645"/>
        <w:rPr>
          <w:rFonts w:hint="eastAsia" w:ascii="仿宋_GB2312" w:eastAsia="仿宋_GB2312" w:cs="Times New Roman" w:hAnsiTheme="minorEastAsia"/>
          <w:bCs/>
          <w:kern w:val="2"/>
          <w:sz w:val="32"/>
          <w:szCs w:val="32"/>
          <w:lang w:eastAsia="zh-CN"/>
        </w:rPr>
      </w:pPr>
      <w:r>
        <w:rPr>
          <w:rFonts w:hint="eastAsia" w:ascii="仿宋_GB2312" w:eastAsia="仿宋_GB2312" w:cs="Times New Roman" w:hAnsiTheme="minorEastAsia"/>
          <w:bCs/>
          <w:kern w:val="2"/>
          <w:sz w:val="32"/>
          <w:szCs w:val="32"/>
          <w:lang w:eastAsia="zh-CN"/>
        </w:rPr>
        <w:t>项目绩效评价指标体系由投入、过程、产出、效果及自评五部分指标构成。投入指标主要包括项目立项规范性、绩效目标合理性、绩效指标明确性、资金到位率、到位及时率等。过程指标主要包括业务管理制度健全性、制度执行有效性、项目质量可控性、财务管理制度健全性、资金使用率、资金使用合规性、财务监控有效性等。产出指标主要包括实际完成率、完成及时率、项目完成质量等。效果指标主要包括文化工作影响力持续性、对全市公民文化素质水平的提高、践行创新驱动发展战略情况、媒体对文化的关注度显著提升等。自评指标包括项目自评。</w:t>
      </w:r>
    </w:p>
    <w:p>
      <w:pPr>
        <w:spacing w:line="360" w:lineRule="auto"/>
        <w:ind w:firstLine="640" w:firstLineChars="200"/>
        <w:rPr>
          <w:rFonts w:hint="eastAsia" w:ascii="仿宋_GB2312" w:eastAsia="仿宋_GB2312" w:cs="Times New Roman" w:hAnsiTheme="minorEastAsia"/>
          <w:bCs/>
          <w:kern w:val="2"/>
          <w:sz w:val="32"/>
          <w:szCs w:val="32"/>
          <w:lang w:eastAsia="zh-CN"/>
        </w:rPr>
      </w:pPr>
      <w:r>
        <w:rPr>
          <w:rFonts w:hint="eastAsia" w:ascii="仿宋_GB2312" w:eastAsia="仿宋_GB2312" w:cs="Times New Roman" w:hAnsiTheme="minorEastAsia"/>
          <w:bCs/>
          <w:kern w:val="2"/>
          <w:sz w:val="32"/>
          <w:szCs w:val="32"/>
          <w:lang w:eastAsia="zh-CN"/>
        </w:rPr>
        <w:t>2、评价方法</w:t>
      </w:r>
    </w:p>
    <w:p>
      <w:pPr>
        <w:spacing w:line="600" w:lineRule="exact"/>
        <w:ind w:firstLine="640" w:firstLineChars="200"/>
        <w:jc w:val="both"/>
        <w:rPr>
          <w:rFonts w:hint="eastAsia" w:ascii="仿宋_GB2312" w:hAnsi="Times New Roman" w:eastAsia="仿宋_GB2312" w:cs="Times New Roman"/>
          <w:sz w:val="32"/>
          <w:szCs w:val="32"/>
          <w:lang w:eastAsia="zh-CN"/>
        </w:rPr>
      </w:pPr>
      <w:r>
        <w:rPr>
          <w:rFonts w:hint="eastAsia" w:ascii="仿宋_GB2312" w:eastAsia="仿宋_GB2312" w:cs="Times New Roman" w:hAnsiTheme="minorEastAsia"/>
          <w:bCs/>
          <w:kern w:val="2"/>
          <w:sz w:val="32"/>
          <w:szCs w:val="32"/>
          <w:lang w:eastAsia="zh-CN"/>
        </w:rPr>
        <w:t>绩效评价的方法主要包括：抽查法、比较法、因素分析法、专家评估法、公众评判法、成本效益分析法、最低成本法和其他方法。根据该项目特点，本次评价主要选用了成本效益分析法和公众评判法。</w:t>
      </w:r>
    </w:p>
    <w:p>
      <w:pPr>
        <w:numPr>
          <w:ilvl w:val="0"/>
          <w:numId w:val="1"/>
        </w:numPr>
        <w:spacing w:line="600" w:lineRule="exact"/>
        <w:ind w:firstLine="640" w:firstLineChars="200"/>
        <w:jc w:val="both"/>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 xml:space="preserve">绩效评价工作过程。 </w:t>
      </w:r>
    </w:p>
    <w:p>
      <w:pPr>
        <w:spacing w:line="360" w:lineRule="auto"/>
        <w:ind w:firstLine="640" w:firstLineChars="200"/>
        <w:rPr>
          <w:rFonts w:hint="eastAsia" w:ascii="仿宋_GB2312" w:eastAsia="仿宋_GB2312" w:cs="Times New Roman" w:hAnsiTheme="minorEastAsia"/>
          <w:bCs/>
          <w:kern w:val="2"/>
          <w:sz w:val="32"/>
          <w:szCs w:val="32"/>
          <w:lang w:eastAsia="zh-CN"/>
        </w:rPr>
      </w:pPr>
      <w:r>
        <w:rPr>
          <w:rFonts w:hint="eastAsia" w:ascii="仿宋_GB2312" w:eastAsia="仿宋_GB2312" w:cs="Times New Roman" w:hAnsiTheme="minorEastAsia"/>
          <w:bCs/>
          <w:kern w:val="2"/>
          <w:sz w:val="32"/>
          <w:szCs w:val="32"/>
          <w:lang w:eastAsia="zh-CN"/>
        </w:rPr>
        <w:t>1、绩效目标的实现程度</w:t>
      </w:r>
    </w:p>
    <w:p>
      <w:pPr>
        <w:spacing w:line="360" w:lineRule="auto"/>
        <w:ind w:firstLine="640" w:firstLineChars="200"/>
        <w:rPr>
          <w:rFonts w:hint="eastAsia" w:ascii="仿宋_GB2312" w:eastAsia="仿宋_GB2312" w:cs="Times New Roman" w:hAnsiTheme="minorEastAsia"/>
          <w:kern w:val="2"/>
          <w:sz w:val="32"/>
          <w:szCs w:val="32"/>
          <w:lang w:eastAsia="zh-CN"/>
        </w:rPr>
      </w:pPr>
      <w:r>
        <w:rPr>
          <w:rFonts w:hint="eastAsia" w:ascii="仿宋_GB2312" w:eastAsia="仿宋_GB2312" w:cs="仿宋_GB2312" w:hAnsiTheme="minorEastAsia"/>
          <w:kern w:val="2"/>
          <w:sz w:val="32"/>
          <w:szCs w:val="32"/>
          <w:lang w:eastAsia="zh-CN"/>
        </w:rPr>
        <w:t>图书馆免费开放项目落实之后，我们按期</w:t>
      </w:r>
      <w:r>
        <w:rPr>
          <w:rFonts w:hint="eastAsia" w:ascii="仿宋_GB2312" w:eastAsia="仿宋_GB2312" w:cs="Times New Roman" w:hAnsiTheme="minorEastAsia"/>
          <w:kern w:val="2"/>
          <w:sz w:val="32"/>
          <w:szCs w:val="32"/>
          <w:lang w:eastAsia="zh-CN"/>
        </w:rPr>
        <w:t>完成了项目资金申请报批工作，按项目进度严格执行预算</w:t>
      </w:r>
    </w:p>
    <w:p>
      <w:pPr>
        <w:spacing w:line="360" w:lineRule="auto"/>
        <w:ind w:firstLine="640" w:firstLineChars="200"/>
        <w:rPr>
          <w:rFonts w:hint="eastAsia" w:ascii="仿宋_GB2312" w:eastAsia="仿宋_GB2312" w:cs="Times New Roman" w:hAnsiTheme="minorEastAsia"/>
          <w:bCs/>
          <w:kern w:val="2"/>
          <w:sz w:val="32"/>
          <w:szCs w:val="32"/>
          <w:lang w:eastAsia="zh-CN"/>
        </w:rPr>
      </w:pPr>
      <w:r>
        <w:rPr>
          <w:rFonts w:hint="eastAsia" w:ascii="仿宋_GB2312" w:eastAsia="仿宋_GB2312" w:cs="Times New Roman" w:hAnsiTheme="minorEastAsia"/>
          <w:bCs/>
          <w:kern w:val="2"/>
          <w:sz w:val="32"/>
          <w:szCs w:val="32"/>
          <w:lang w:eastAsia="zh-CN"/>
        </w:rPr>
        <w:t>2、资金使用及管理情况</w:t>
      </w:r>
    </w:p>
    <w:p>
      <w:pPr>
        <w:adjustRightInd w:val="0"/>
        <w:snapToGrid w:val="0"/>
        <w:spacing w:line="600" w:lineRule="atLeast"/>
        <w:ind w:firstLine="640" w:firstLineChars="200"/>
        <w:jc w:val="both"/>
        <w:rPr>
          <w:rFonts w:hint="eastAsia" w:ascii="仿宋_GB2312" w:eastAsia="仿宋_GB2312" w:cs="仿宋_GB2312" w:hAnsiTheme="minorEastAsia"/>
          <w:kern w:val="2"/>
          <w:sz w:val="32"/>
          <w:szCs w:val="32"/>
          <w:lang w:eastAsia="zh-CN"/>
        </w:rPr>
      </w:pPr>
      <w:r>
        <w:rPr>
          <w:rFonts w:hint="eastAsia" w:ascii="仿宋_GB2312" w:eastAsia="仿宋_GB2312" w:cs="仿宋_GB2312" w:hAnsiTheme="minorEastAsia"/>
          <w:kern w:val="2"/>
          <w:sz w:val="32"/>
          <w:szCs w:val="32"/>
          <w:lang w:eastAsia="zh-CN"/>
        </w:rPr>
        <w:t>图书馆免费开放项目投资13.945万元，截止2022年底财政批复资金13.945万元，项目资金全部到位，使用资金13.945万元。资金使用规范，符合规定。</w:t>
      </w:r>
    </w:p>
    <w:p>
      <w:pPr>
        <w:spacing w:line="600" w:lineRule="exact"/>
        <w:ind w:firstLine="656" w:firstLineChars="200"/>
        <w:jc w:val="both"/>
        <w:rPr>
          <w:rFonts w:ascii="黑体" w:hAnsi="黑体" w:eastAsia="黑体" w:cs="Times New Roman"/>
          <w:spacing w:val="-4"/>
          <w:w w:val="105"/>
          <w:sz w:val="32"/>
          <w:szCs w:val="32"/>
          <w:lang w:eastAsia="zh-CN"/>
        </w:rPr>
      </w:pPr>
      <w:r>
        <w:rPr>
          <w:rFonts w:hint="eastAsia" w:ascii="黑体" w:hAnsi="黑体" w:eastAsia="黑体" w:cs="Times New Roman"/>
          <w:spacing w:val="-4"/>
          <w:w w:val="105"/>
          <w:sz w:val="32"/>
          <w:szCs w:val="32"/>
          <w:lang w:eastAsia="zh-CN"/>
        </w:rPr>
        <w:t>三、</w:t>
      </w:r>
      <w:r>
        <w:rPr>
          <w:rFonts w:ascii="黑体" w:hAnsi="黑体" w:eastAsia="黑体" w:cs="Times New Roman"/>
          <w:spacing w:val="-4"/>
          <w:w w:val="105"/>
          <w:sz w:val="32"/>
          <w:szCs w:val="32"/>
          <w:lang w:eastAsia="zh-CN"/>
        </w:rPr>
        <w:t>综合评价情况及评价结论</w:t>
      </w:r>
      <w:r>
        <w:rPr>
          <w:rFonts w:hint="eastAsia" w:ascii="黑体" w:hAnsi="黑体" w:eastAsia="黑体" w:cs="Times New Roman"/>
          <w:spacing w:val="-4"/>
          <w:w w:val="105"/>
          <w:sz w:val="32"/>
          <w:szCs w:val="32"/>
          <w:lang w:eastAsia="zh-CN"/>
        </w:rPr>
        <w:t>（</w:t>
      </w:r>
      <w:r>
        <w:rPr>
          <w:rFonts w:ascii="黑体" w:hAnsi="黑体" w:eastAsia="黑体" w:cs="Times New Roman"/>
          <w:spacing w:val="-4"/>
          <w:w w:val="105"/>
          <w:sz w:val="32"/>
          <w:szCs w:val="32"/>
          <w:lang w:eastAsia="zh-CN"/>
        </w:rPr>
        <w:t>附相关评分表）</w:t>
      </w:r>
    </w:p>
    <w:p>
      <w:pPr>
        <w:adjustRightInd w:val="0"/>
        <w:snapToGrid w:val="0"/>
        <w:spacing w:line="600" w:lineRule="atLeast"/>
        <w:ind w:firstLine="555"/>
        <w:jc w:val="both"/>
        <w:rPr>
          <w:rFonts w:hint="eastAsia" w:ascii="仿宋_GB2312" w:eastAsia="仿宋_GB2312" w:cs="Times New Roman" w:hAnsiTheme="minorEastAsia"/>
          <w:kern w:val="2"/>
          <w:sz w:val="32"/>
          <w:szCs w:val="32"/>
          <w:lang w:eastAsia="zh-CN"/>
        </w:rPr>
      </w:pPr>
      <w:r>
        <w:rPr>
          <w:rFonts w:hint="eastAsia" w:ascii="仿宋_GB2312" w:eastAsia="仿宋_GB2312" w:cs="Times New Roman" w:hAnsiTheme="minorEastAsia"/>
          <w:kern w:val="2"/>
          <w:sz w:val="32"/>
          <w:szCs w:val="32"/>
          <w:lang w:eastAsia="zh-CN"/>
        </w:rPr>
        <w:t xml:space="preserve">通过实地核查和指标分析，图书馆免费开放项目资金使用符合预算要求，项目资金支出符合规定，发挥了项目资金的作用。项目效果达到了既定工作目标，满足了读者阅读需求，实现了文化惠民，促进了文化事业发展。 </w:t>
      </w:r>
    </w:p>
    <w:p>
      <w:pPr>
        <w:spacing w:line="600" w:lineRule="exact"/>
        <w:ind w:firstLine="656" w:firstLineChars="200"/>
        <w:jc w:val="both"/>
        <w:rPr>
          <w:rFonts w:ascii="黑体" w:hAnsi="黑体" w:eastAsia="黑体" w:cs="Times New Roman"/>
          <w:spacing w:val="-4"/>
          <w:w w:val="105"/>
          <w:sz w:val="32"/>
          <w:szCs w:val="32"/>
          <w:lang w:eastAsia="zh-CN"/>
        </w:rPr>
      </w:pPr>
      <w:r>
        <w:rPr>
          <w:rFonts w:ascii="黑体" w:hAnsi="黑体" w:eastAsia="黑体" w:cs="Times New Roman"/>
          <w:spacing w:val="-4"/>
          <w:w w:val="105"/>
          <w:sz w:val="32"/>
          <w:szCs w:val="32"/>
          <w:lang w:eastAsia="zh-CN"/>
        </w:rPr>
        <w:t>四、绩效评价指标分析</w:t>
      </w:r>
    </w:p>
    <w:p>
      <w:pPr>
        <w:spacing w:line="600" w:lineRule="exact"/>
        <w:ind w:firstLine="640" w:firstLineChars="200"/>
        <w:jc w:val="both"/>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（一）项目决策情况</w:t>
      </w:r>
      <w:r>
        <w:rPr>
          <w:rFonts w:hint="eastAsia" w:ascii="仿宋_GB2312" w:hAnsi="Times New Roman" w:eastAsia="仿宋_GB2312" w:cs="Times New Roman"/>
          <w:spacing w:val="-115"/>
          <w:sz w:val="32"/>
          <w:szCs w:val="32"/>
          <w:lang w:eastAsia="zh-CN"/>
        </w:rPr>
        <w:t xml:space="preserve"> </w:t>
      </w:r>
      <w:r>
        <w:rPr>
          <w:rFonts w:hint="eastAsia" w:ascii="仿宋_GB2312" w:hAnsi="Times New Roman" w:eastAsia="仿宋_GB2312" w:cs="Times New Roman"/>
          <w:sz w:val="32"/>
          <w:szCs w:val="32"/>
          <w:lang w:eastAsia="zh-CN"/>
        </w:rPr>
        <w:t>。</w:t>
      </w:r>
    </w:p>
    <w:p>
      <w:pPr>
        <w:spacing w:line="600" w:lineRule="exact"/>
        <w:ind w:firstLine="640" w:firstLineChars="200"/>
        <w:jc w:val="both"/>
        <w:rPr>
          <w:rFonts w:hint="eastAsia" w:ascii="仿宋_GB2312" w:eastAsia="仿宋_GB2312" w:cs="Times New Roman" w:hAnsiTheme="minorEastAsia"/>
          <w:sz w:val="32"/>
          <w:szCs w:val="32"/>
          <w:lang w:eastAsia="zh-CN"/>
        </w:rPr>
      </w:pPr>
      <w:r>
        <w:rPr>
          <w:rFonts w:hint="eastAsia" w:ascii="仿宋_GB2312" w:eastAsia="仿宋_GB2312" w:cs="Times New Roman" w:hAnsiTheme="minorEastAsia"/>
          <w:sz w:val="32"/>
          <w:szCs w:val="32"/>
          <w:lang w:eastAsia="zh-CN"/>
        </w:rPr>
        <w:t>1、项目立项依据充分，符合法律法规及相关政策，符合行业发展规划和政策要求，与部门职责相符，属于部门履职所需，属于公共财政支持范围。立项程序规范，按照规定程序申请设立，事前经过绩效评估、集体决策。</w:t>
      </w:r>
    </w:p>
    <w:p>
      <w:pPr>
        <w:spacing w:line="600" w:lineRule="exact"/>
        <w:ind w:firstLine="640" w:firstLineChars="200"/>
        <w:jc w:val="both"/>
        <w:rPr>
          <w:rFonts w:hint="eastAsia" w:ascii="仿宋_GB2312" w:eastAsia="仿宋_GB2312" w:cs="Times New Roman" w:hAnsiTheme="minorEastAsia"/>
          <w:sz w:val="32"/>
          <w:szCs w:val="32"/>
          <w:lang w:eastAsia="zh-CN"/>
        </w:rPr>
      </w:pPr>
      <w:r>
        <w:rPr>
          <w:rFonts w:hint="eastAsia" w:ascii="仿宋_GB2312" w:eastAsia="仿宋_GB2312" w:cs="Times New Roman" w:hAnsiTheme="minorEastAsia"/>
          <w:sz w:val="32"/>
          <w:szCs w:val="32"/>
          <w:lang w:eastAsia="zh-CN"/>
        </w:rPr>
        <w:t>2、绩效目标合理，符合客观实际，有利于图书馆健康持续发展，满足全民阅读需求，建设书香津南。</w:t>
      </w:r>
    </w:p>
    <w:p>
      <w:pPr>
        <w:spacing w:line="600" w:lineRule="exact"/>
        <w:ind w:firstLine="640" w:firstLineChars="200"/>
        <w:jc w:val="both"/>
        <w:rPr>
          <w:rFonts w:hint="eastAsia" w:ascii="仿宋_GB2312" w:eastAsia="仿宋_GB2312" w:cs="Times New Roman" w:hAnsiTheme="minorEastAsia"/>
          <w:sz w:val="32"/>
          <w:szCs w:val="32"/>
          <w:lang w:eastAsia="zh-CN"/>
        </w:rPr>
      </w:pPr>
      <w:r>
        <w:rPr>
          <w:rFonts w:hint="eastAsia" w:ascii="仿宋_GB2312" w:eastAsia="仿宋_GB2312" w:cs="Times New Roman" w:hAnsiTheme="minorEastAsia"/>
          <w:sz w:val="32"/>
          <w:szCs w:val="32"/>
          <w:lang w:eastAsia="zh-CN"/>
        </w:rPr>
        <w:t>3、资金投入预算编制科学合理，有明确标准，项目资金量与年度工作目标相匹配。</w:t>
      </w:r>
    </w:p>
    <w:p>
      <w:pPr>
        <w:spacing w:line="600" w:lineRule="exact"/>
        <w:ind w:firstLine="640" w:firstLineChars="200"/>
        <w:jc w:val="both"/>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（二）项目过程情况</w:t>
      </w:r>
      <w:r>
        <w:rPr>
          <w:rFonts w:hint="eastAsia" w:ascii="仿宋_GB2312" w:hAnsi="Times New Roman" w:eastAsia="仿宋_GB2312" w:cs="Times New Roman"/>
          <w:spacing w:val="-106"/>
          <w:sz w:val="32"/>
          <w:szCs w:val="32"/>
          <w:lang w:eastAsia="zh-CN"/>
        </w:rPr>
        <w:t xml:space="preserve"> </w:t>
      </w:r>
      <w:r>
        <w:rPr>
          <w:rFonts w:hint="eastAsia" w:ascii="仿宋_GB2312" w:hAnsi="Times New Roman" w:eastAsia="仿宋_GB2312" w:cs="Times New Roman"/>
          <w:sz w:val="32"/>
          <w:szCs w:val="32"/>
          <w:lang w:eastAsia="zh-CN"/>
        </w:rPr>
        <w:t>。</w:t>
      </w:r>
    </w:p>
    <w:p>
      <w:pPr>
        <w:spacing w:line="600" w:lineRule="exact"/>
        <w:ind w:firstLine="640" w:firstLineChars="200"/>
        <w:jc w:val="both"/>
        <w:rPr>
          <w:rFonts w:hint="eastAsia" w:ascii="仿宋_GB2312" w:eastAsia="仿宋_GB2312" w:cs="Times New Roman" w:hAnsiTheme="minorEastAsia"/>
          <w:sz w:val="32"/>
          <w:szCs w:val="32"/>
          <w:lang w:eastAsia="zh-CN"/>
        </w:rPr>
      </w:pPr>
      <w:r>
        <w:rPr>
          <w:rFonts w:hint="eastAsia" w:ascii="仿宋_GB2312" w:eastAsia="仿宋_GB2312" w:cs="Times New Roman" w:hAnsiTheme="minorEastAsia"/>
          <w:sz w:val="32"/>
          <w:szCs w:val="32"/>
          <w:lang w:eastAsia="zh-CN"/>
        </w:rPr>
        <w:t>1、资金到位率100%，预算执行率100%</w:t>
      </w:r>
    </w:p>
    <w:p>
      <w:pPr>
        <w:spacing w:line="600" w:lineRule="exact"/>
        <w:ind w:firstLine="640" w:firstLineChars="200"/>
        <w:jc w:val="both"/>
        <w:rPr>
          <w:rFonts w:hint="eastAsia" w:ascii="仿宋_GB2312" w:eastAsia="仿宋_GB2312" w:cs="Times New Roman" w:hAnsiTheme="minorEastAsia"/>
          <w:sz w:val="32"/>
          <w:szCs w:val="32"/>
          <w:lang w:eastAsia="zh-CN"/>
        </w:rPr>
      </w:pPr>
      <w:r>
        <w:rPr>
          <w:rFonts w:hint="eastAsia" w:ascii="仿宋_GB2312" w:eastAsia="仿宋_GB2312" w:cs="Times New Roman" w:hAnsiTheme="minorEastAsia"/>
          <w:sz w:val="32"/>
          <w:szCs w:val="32"/>
          <w:lang w:eastAsia="zh-CN"/>
        </w:rPr>
        <w:t>2、资金使用符合财务管理制度，有完整的审批程序和手续，符合预算批复和合同规定的用途，不存在截留、挪用、虚列支出等情况。</w:t>
      </w:r>
    </w:p>
    <w:p>
      <w:pPr>
        <w:spacing w:line="600" w:lineRule="exact"/>
        <w:ind w:firstLine="640" w:firstLineChars="200"/>
        <w:jc w:val="both"/>
        <w:rPr>
          <w:rFonts w:hint="eastAsia" w:ascii="仿宋_GB2312" w:eastAsia="仿宋_GB2312" w:cs="Times New Roman" w:hAnsiTheme="minorEastAsia"/>
          <w:sz w:val="32"/>
          <w:szCs w:val="32"/>
          <w:lang w:eastAsia="zh-CN"/>
        </w:rPr>
      </w:pPr>
      <w:r>
        <w:rPr>
          <w:rFonts w:hint="eastAsia" w:ascii="仿宋_GB2312" w:eastAsia="仿宋_GB2312" w:cs="Times New Roman" w:hAnsiTheme="minorEastAsia"/>
          <w:sz w:val="32"/>
          <w:szCs w:val="32"/>
          <w:lang w:eastAsia="zh-CN"/>
        </w:rPr>
        <w:t>3、组织实施制度健全，符合相关管理规定。</w:t>
      </w:r>
    </w:p>
    <w:p>
      <w:pPr>
        <w:spacing w:line="600" w:lineRule="exact"/>
        <w:ind w:firstLine="640" w:firstLineChars="200"/>
        <w:jc w:val="both"/>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（三）项目产出情况</w:t>
      </w:r>
      <w:r>
        <w:rPr>
          <w:rFonts w:hint="eastAsia" w:ascii="仿宋_GB2312" w:hAnsi="Times New Roman" w:eastAsia="仿宋_GB2312" w:cs="Times New Roman"/>
          <w:spacing w:val="-115"/>
          <w:sz w:val="32"/>
          <w:szCs w:val="32"/>
          <w:lang w:eastAsia="zh-CN"/>
        </w:rPr>
        <w:t xml:space="preserve"> </w:t>
      </w:r>
      <w:r>
        <w:rPr>
          <w:rFonts w:hint="eastAsia" w:ascii="仿宋_GB2312" w:hAnsi="Times New Roman" w:eastAsia="仿宋_GB2312" w:cs="Times New Roman"/>
          <w:sz w:val="32"/>
          <w:szCs w:val="32"/>
          <w:lang w:eastAsia="zh-CN"/>
        </w:rPr>
        <w:t>。</w:t>
      </w:r>
    </w:p>
    <w:p>
      <w:pPr>
        <w:spacing w:line="600" w:lineRule="exact"/>
        <w:ind w:firstLine="640" w:firstLineChars="200"/>
        <w:jc w:val="both"/>
        <w:rPr>
          <w:rFonts w:hint="eastAsia" w:ascii="仿宋_GB2312" w:eastAsia="仿宋_GB2312" w:cs="Times New Roman" w:hAnsiTheme="minorEastAsia"/>
          <w:sz w:val="32"/>
          <w:szCs w:val="32"/>
          <w:lang w:eastAsia="zh-CN"/>
        </w:rPr>
      </w:pPr>
      <w:r>
        <w:rPr>
          <w:rFonts w:hint="eastAsia" w:ascii="仿宋_GB2312" w:eastAsia="仿宋_GB2312" w:cs="Times New Roman" w:hAnsiTheme="minorEastAsia"/>
          <w:sz w:val="32"/>
          <w:szCs w:val="32"/>
          <w:lang w:eastAsia="zh-CN"/>
        </w:rPr>
        <w:t>1、实际完成质量达到目标要求，符合行业标准。</w:t>
      </w:r>
    </w:p>
    <w:p>
      <w:pPr>
        <w:spacing w:line="600" w:lineRule="exact"/>
        <w:ind w:firstLine="640" w:firstLineChars="200"/>
        <w:jc w:val="both"/>
        <w:rPr>
          <w:rFonts w:hint="eastAsia" w:ascii="仿宋_GB2312" w:eastAsia="仿宋_GB2312" w:cs="Times New Roman" w:hAnsiTheme="minorEastAsia"/>
          <w:sz w:val="32"/>
          <w:szCs w:val="32"/>
          <w:lang w:eastAsia="zh-CN"/>
        </w:rPr>
      </w:pPr>
      <w:r>
        <w:rPr>
          <w:rFonts w:hint="eastAsia" w:ascii="仿宋_GB2312" w:eastAsia="仿宋_GB2312" w:cs="Times New Roman" w:hAnsiTheme="minorEastAsia"/>
          <w:sz w:val="32"/>
          <w:szCs w:val="32"/>
          <w:lang w:eastAsia="zh-CN"/>
        </w:rPr>
        <w:t>2、完成及时性，当年完成项目计划。</w:t>
      </w:r>
    </w:p>
    <w:p>
      <w:pPr>
        <w:spacing w:line="600" w:lineRule="exact"/>
        <w:ind w:firstLine="640" w:firstLineChars="200"/>
        <w:jc w:val="both"/>
        <w:rPr>
          <w:rFonts w:hint="eastAsia" w:ascii="仿宋_GB2312" w:eastAsia="仿宋_GB2312" w:cs="Times New Roman" w:hAnsiTheme="minorEastAsia"/>
          <w:sz w:val="32"/>
          <w:szCs w:val="32"/>
          <w:lang w:eastAsia="zh-CN"/>
        </w:rPr>
      </w:pPr>
      <w:r>
        <w:rPr>
          <w:rFonts w:hint="eastAsia" w:ascii="仿宋_GB2312" w:eastAsia="仿宋_GB2312" w:cs="Times New Roman" w:hAnsiTheme="minorEastAsia"/>
          <w:sz w:val="32"/>
          <w:szCs w:val="32"/>
          <w:lang w:eastAsia="zh-CN"/>
        </w:rPr>
        <w:t>3、实际成本与计划成本一致</w:t>
      </w:r>
    </w:p>
    <w:p>
      <w:pPr>
        <w:spacing w:line="600" w:lineRule="exact"/>
        <w:ind w:firstLine="640" w:firstLineChars="200"/>
        <w:jc w:val="both"/>
        <w:rPr>
          <w:rFonts w:hint="eastAsia" w:ascii="仿宋_GB2312" w:hAnsi="Times New Roman" w:eastAsia="仿宋_GB2312" w:cs="Times New Roman"/>
          <w:sz w:val="32"/>
          <w:szCs w:val="32"/>
          <w:lang w:eastAsia="zh-CN"/>
        </w:rPr>
      </w:pPr>
      <w:r>
        <w:rPr>
          <w:rFonts w:hint="eastAsia" w:ascii="仿宋_GB2312" w:hAnsi="Times New Roman" w:eastAsia="仿宋_GB2312" w:cs="Times New Roman"/>
          <w:sz w:val="32"/>
          <w:szCs w:val="32"/>
          <w:lang w:eastAsia="zh-CN"/>
        </w:rPr>
        <w:t>（四）项目效益情况。</w:t>
      </w:r>
    </w:p>
    <w:p>
      <w:pPr>
        <w:autoSpaceDE w:val="0"/>
        <w:autoSpaceDN w:val="0"/>
        <w:adjustRightInd w:val="0"/>
        <w:ind w:firstLine="643" w:firstLineChars="200"/>
        <w:rPr>
          <w:rFonts w:hint="eastAsia" w:ascii="仿宋_GB2312" w:hAnsi="仿宋" w:eastAsia="仿宋_GB2312" w:cs="黑体"/>
          <w:b/>
          <w:sz w:val="32"/>
          <w:szCs w:val="32"/>
          <w:lang w:eastAsia="zh-CN"/>
        </w:rPr>
      </w:pPr>
      <w:r>
        <w:rPr>
          <w:rFonts w:hint="eastAsia" w:ascii="仿宋_GB2312" w:hAnsi="仿宋" w:eastAsia="仿宋_GB2312" w:cs="黑体"/>
          <w:b/>
          <w:sz w:val="32"/>
          <w:szCs w:val="32"/>
          <w:lang w:eastAsia="zh-CN"/>
        </w:rPr>
        <w:t>1、《沽上讲堂》发挥阅读品牌引领作用，加强线上服务</w:t>
      </w:r>
    </w:p>
    <w:p>
      <w:pPr>
        <w:autoSpaceDE w:val="0"/>
        <w:autoSpaceDN w:val="0"/>
        <w:adjustRightInd w:val="0"/>
        <w:ind w:firstLine="640" w:firstLineChars="200"/>
        <w:rPr>
          <w:rFonts w:hint="eastAsia" w:ascii="仿宋_GB2312" w:hAnsi="仿宋" w:eastAsia="仿宋_GB2312" w:cs="黑体"/>
          <w:sz w:val="32"/>
          <w:szCs w:val="32"/>
          <w:lang w:eastAsia="zh-CN"/>
        </w:rPr>
      </w:pPr>
      <w:r>
        <w:rPr>
          <w:rFonts w:hint="eastAsia" w:ascii="仿宋_GB2312" w:hAnsi="仿宋" w:eastAsia="仿宋_GB2312" w:cs="黑体"/>
          <w:sz w:val="32"/>
          <w:szCs w:val="32"/>
          <w:lang w:eastAsia="zh-CN"/>
        </w:rPr>
        <w:t>《沽上讲堂》推出“中华传统文化”系列精品讲座受欢迎。特邀天津京剧院国家一级演员、第30届中国戏剧梅花奖黄齐峰老师在辛庄小学、小站六小和南开大学附属中学津南学校成功举办三场公益讲座。师生代表共500余人聆听讲座。黄老师的讲座通俗易懂、趣味十足，燃起了现场师生对京剧的浓厚兴趣，互动十分热烈，进一步传承和弘扬中华优秀传统文化，坚定了文化自信。</w:t>
      </w:r>
    </w:p>
    <w:p>
      <w:pPr>
        <w:autoSpaceDE w:val="0"/>
        <w:autoSpaceDN w:val="0"/>
        <w:adjustRightInd w:val="0"/>
        <w:ind w:firstLine="640" w:firstLineChars="200"/>
        <w:rPr>
          <w:rFonts w:hint="eastAsia" w:ascii="仿宋_GB2312" w:hAnsi="仿宋" w:eastAsia="仿宋_GB2312" w:cs="黑体"/>
          <w:sz w:val="32"/>
          <w:szCs w:val="32"/>
          <w:lang w:eastAsia="zh-CN"/>
        </w:rPr>
      </w:pPr>
      <w:r>
        <w:rPr>
          <w:rFonts w:hint="eastAsia" w:ascii="仿宋_GB2312" w:hAnsi="仿宋" w:eastAsia="仿宋_GB2312" w:cs="黑体"/>
          <w:sz w:val="32"/>
          <w:szCs w:val="32"/>
          <w:lang w:eastAsia="zh-CN"/>
        </w:rPr>
        <w:t>在世界读书日和社科普及周期间，特别录制两期空中课堂系列讲座提供线上服务，讲座邀请了受广大读者欢迎的“京津冀图书馆悦读之星”周勇老师通过听故事、讲道理、诗词诵读等形式为大家讲述了英雄和家风两个主题的课程，大力弘扬了社会主义核心价值观，从而引导读者坚定信念，在深入心灵的阅读中，追忆峥嵘岁月，传承中华传统美德，珍惜幸福生活。</w:t>
      </w:r>
    </w:p>
    <w:p>
      <w:pPr>
        <w:autoSpaceDE w:val="0"/>
        <w:autoSpaceDN w:val="0"/>
        <w:adjustRightInd w:val="0"/>
        <w:ind w:firstLine="640" w:firstLineChars="200"/>
        <w:rPr>
          <w:rFonts w:hint="eastAsia" w:ascii="仿宋_GB2312" w:hAnsi="仿宋" w:eastAsia="仿宋_GB2312" w:cs="黑体"/>
          <w:sz w:val="32"/>
          <w:szCs w:val="32"/>
          <w:lang w:eastAsia="zh-CN"/>
        </w:rPr>
      </w:pPr>
      <w:r>
        <w:rPr>
          <w:rFonts w:hint="eastAsia" w:ascii="仿宋_GB2312" w:hAnsi="仿宋" w:eastAsia="仿宋_GB2312" w:cs="黑体"/>
          <w:sz w:val="32"/>
          <w:szCs w:val="32"/>
          <w:lang w:eastAsia="zh-CN"/>
        </w:rPr>
        <w:t>按照疫情防控工作要求，及时调整宣传推广方法，将“阅读指导”、“地方文化”系列讲座改为线上开展。陆续推出了“如何给孩子制定读经典名著的计划”、“平凡中的不平凡——《平凡的世界》导读、“阅读，站在巨人肩上看世界——中小学生课外阅读浅谈”、“周汝昌与海下文化”等8个主题，阅读点击量高，受到读者好评，进一步加强阅读引领，深入推进新时代全民阅读工作，满足人民群众精神文化生活新期待。</w:t>
      </w:r>
    </w:p>
    <w:p>
      <w:pPr>
        <w:autoSpaceDE w:val="0"/>
        <w:autoSpaceDN w:val="0"/>
        <w:adjustRightInd w:val="0"/>
        <w:ind w:firstLine="643" w:firstLineChars="200"/>
        <w:rPr>
          <w:rFonts w:hint="eastAsia" w:ascii="仿宋_GB2312" w:hAnsi="仿宋" w:eastAsia="仿宋_GB2312" w:cs="黑体"/>
          <w:b/>
          <w:sz w:val="32"/>
          <w:szCs w:val="32"/>
          <w:lang w:eastAsia="zh-CN"/>
        </w:rPr>
      </w:pPr>
      <w:r>
        <w:rPr>
          <w:rFonts w:hint="eastAsia" w:ascii="仿宋_GB2312" w:hAnsi="仿宋" w:eastAsia="仿宋_GB2312" w:cs="黑体"/>
          <w:b/>
          <w:sz w:val="32"/>
          <w:szCs w:val="32"/>
          <w:lang w:eastAsia="zh-CN"/>
        </w:rPr>
        <w:t>2、成功举办迎接党的二十大胜利召开津南区第八届读书节主题读书系列活动</w:t>
      </w:r>
    </w:p>
    <w:p>
      <w:pPr>
        <w:autoSpaceDE w:val="0"/>
        <w:autoSpaceDN w:val="0"/>
        <w:adjustRightInd w:val="0"/>
        <w:ind w:firstLine="640" w:firstLineChars="200"/>
        <w:rPr>
          <w:rFonts w:hint="eastAsia" w:ascii="仿宋_GB2312" w:hAnsi="仿宋" w:eastAsia="仿宋_GB2312" w:cs="黑体"/>
          <w:sz w:val="32"/>
          <w:szCs w:val="32"/>
          <w:lang w:eastAsia="zh-CN"/>
        </w:rPr>
      </w:pPr>
      <w:r>
        <w:rPr>
          <w:rFonts w:hint="eastAsia" w:ascii="仿宋_GB2312" w:hAnsi="仿宋" w:eastAsia="仿宋_GB2312" w:cs="黑体"/>
          <w:sz w:val="32"/>
          <w:szCs w:val="32"/>
          <w:lang w:eastAsia="zh-CN"/>
        </w:rPr>
        <w:t>为进一步推动市委“迎盛会、铸忠诚、强担当、创业绩”主题学习宣传教育实践活动工作，以迎接党的二十大胜利召开为重要契机，区文化和旅游局面向全区机关、企事业单位、驻区部队、社会团体和广大市民群众，组织开展迎接党的二十大胜利召开津南区第八届读书节主题读书系列活动。活动含征文、诵读、公益讲座、图片图书展览、表彰会暨优秀诵读作品展示活动等。活动于5月底正式启动，9月底结束。共征集诵读作品63个、征文作品420余篇。268人分获征文、诵读比赛一、二、三等奖和优秀奖，优秀辅导教师奖及优秀组织个人奖。</w:t>
      </w:r>
    </w:p>
    <w:p>
      <w:pPr>
        <w:autoSpaceDE w:val="0"/>
        <w:autoSpaceDN w:val="0"/>
        <w:adjustRightInd w:val="0"/>
        <w:ind w:firstLine="643" w:firstLineChars="200"/>
        <w:rPr>
          <w:rFonts w:hint="eastAsia" w:ascii="仿宋_GB2312" w:hAnsi="仿宋" w:eastAsia="仿宋_GB2312" w:cs="黑体"/>
          <w:b/>
          <w:sz w:val="32"/>
          <w:szCs w:val="32"/>
          <w:lang w:eastAsia="zh-CN"/>
        </w:rPr>
      </w:pPr>
      <w:r>
        <w:rPr>
          <w:rFonts w:hint="eastAsia" w:ascii="仿宋_GB2312" w:hAnsi="仿宋" w:eastAsia="仿宋_GB2312" w:cs="黑体"/>
          <w:b/>
          <w:sz w:val="32"/>
          <w:szCs w:val="32"/>
          <w:lang w:eastAsia="zh-CN"/>
        </w:rPr>
        <w:t>3、成功举办2022年津南区图书馆世界读书日活动</w:t>
      </w:r>
    </w:p>
    <w:p>
      <w:pPr>
        <w:autoSpaceDE w:val="0"/>
        <w:autoSpaceDN w:val="0"/>
        <w:adjustRightInd w:val="0"/>
        <w:ind w:firstLine="640" w:firstLineChars="200"/>
        <w:rPr>
          <w:rFonts w:hint="eastAsia" w:ascii="仿宋_GB2312" w:hAnsi="仿宋" w:eastAsia="仿宋_GB2312" w:cs="黑体"/>
          <w:sz w:val="32"/>
          <w:szCs w:val="32"/>
          <w:lang w:eastAsia="zh-CN"/>
        </w:rPr>
      </w:pPr>
      <w:r>
        <w:rPr>
          <w:rFonts w:hint="eastAsia" w:ascii="仿宋_GB2312" w:hAnsi="仿宋" w:eastAsia="仿宋_GB2312" w:cs="黑体"/>
          <w:sz w:val="32"/>
          <w:szCs w:val="32"/>
          <w:lang w:eastAsia="zh-CN"/>
        </w:rPr>
        <w:t>在第27个“世界读书日”期间，以习近平新时代中国特色社会主义思想为指导，贯彻落实党的十九大和十九届历次全会精神，落实习近平总书记给国家图书馆老专家回信精神，按照疫情防控要求，立足本馆特色，以“奋进新征程 阅读再出发”为主题，开展了形式多样的线上活动。自行录制“书籍，春风，还有你”专题视频，真诚邀请广大读者走进图书馆；《沽上讲堂》公益讲座“空中课堂”系列推出世界读书日专场；知识竞答、讲坛打卡、AR场景阅读、新书推荐等线上活动受到读者欢迎。世界读书日当天，津南区图书馆微信公众号粉丝增长1500余个，创公众号开办以来日粉丝增长量之最。当天活动链接点击量超5000次，受到读者高度关注。</w:t>
      </w:r>
    </w:p>
    <w:p>
      <w:pPr>
        <w:spacing w:line="360" w:lineRule="auto"/>
        <w:ind w:firstLine="643" w:firstLineChars="200"/>
        <w:rPr>
          <w:rFonts w:hint="eastAsia" w:ascii="仿宋_GB2312" w:hAnsi="仿宋" w:eastAsia="仿宋_GB2312" w:cs="仿宋"/>
          <w:b/>
          <w:sz w:val="32"/>
          <w:szCs w:val="32"/>
          <w:lang w:eastAsia="zh-CN"/>
        </w:rPr>
      </w:pPr>
      <w:r>
        <w:rPr>
          <w:rFonts w:hint="eastAsia" w:ascii="仿宋_GB2312" w:hAnsi="仿宋" w:eastAsia="仿宋_GB2312" w:cs="仿宋"/>
          <w:b/>
          <w:sz w:val="32"/>
          <w:szCs w:val="32"/>
          <w:lang w:eastAsia="zh-CN"/>
        </w:rPr>
        <w:t>4、“走进安徒生童话世界，编织新时代美好童年”津南区第六届悦童年少年儿童绘画征集活动</w:t>
      </w:r>
    </w:p>
    <w:p>
      <w:pPr>
        <w:spacing w:line="360" w:lineRule="auto"/>
        <w:ind w:firstLine="640" w:firstLineChars="200"/>
        <w:rPr>
          <w:rFonts w:hint="eastAsia" w:ascii="仿宋_GB2312" w:hAnsi="仿宋" w:eastAsia="仿宋_GB2312" w:cs="仿宋"/>
          <w:sz w:val="32"/>
          <w:szCs w:val="32"/>
          <w:lang w:eastAsia="zh-CN"/>
        </w:rPr>
      </w:pPr>
      <w:r>
        <w:rPr>
          <w:rFonts w:hint="eastAsia" w:ascii="仿宋_GB2312" w:hAnsi="仿宋" w:eastAsia="仿宋_GB2312" w:cs="仿宋"/>
          <w:sz w:val="32"/>
          <w:szCs w:val="32"/>
          <w:lang w:eastAsia="zh-CN"/>
        </w:rPr>
        <w:t>为喜迎二十大盛会，扎实开展社会主义核心价值观教育和儿童美育教育，津南区文旅局主办、津南区图书馆承办的“走进安徒生童话世界，编织新时代美好童年”津南区第六届悦童年少年儿童绘画征集活动成功举办，累计有80余人参加；举办津南区第六届悦童年少年儿童绘画作品线上展览，累计有50余人参观。</w:t>
      </w:r>
    </w:p>
    <w:p>
      <w:pPr>
        <w:autoSpaceDE w:val="0"/>
        <w:autoSpaceDN w:val="0"/>
        <w:adjustRightInd w:val="0"/>
        <w:ind w:firstLine="643" w:firstLineChars="200"/>
        <w:rPr>
          <w:rFonts w:hint="eastAsia" w:ascii="仿宋_GB2312" w:hAnsi="仿宋" w:eastAsia="仿宋_GB2312" w:cs="黑体"/>
          <w:b/>
          <w:sz w:val="32"/>
          <w:szCs w:val="32"/>
          <w:lang w:eastAsia="zh-CN"/>
        </w:rPr>
      </w:pPr>
      <w:r>
        <w:rPr>
          <w:rFonts w:hint="eastAsia" w:ascii="仿宋_GB2312" w:hAnsi="仿宋" w:eastAsia="仿宋_GB2312" w:cs="黑体"/>
          <w:b/>
          <w:sz w:val="32"/>
          <w:szCs w:val="32"/>
          <w:lang w:eastAsia="zh-CN"/>
        </w:rPr>
        <w:t>5、成功举办第二十届社会科学普及周系列活动</w:t>
      </w:r>
    </w:p>
    <w:p>
      <w:pPr>
        <w:autoSpaceDE w:val="0"/>
        <w:autoSpaceDN w:val="0"/>
        <w:adjustRightInd w:val="0"/>
        <w:ind w:firstLine="640" w:firstLineChars="200"/>
        <w:rPr>
          <w:rFonts w:hint="eastAsia" w:ascii="仿宋_GB2312" w:hAnsi="仿宋" w:eastAsia="仿宋_GB2312" w:cs="黑体"/>
          <w:sz w:val="32"/>
          <w:szCs w:val="32"/>
          <w:lang w:eastAsia="zh-CN"/>
        </w:rPr>
      </w:pPr>
      <w:r>
        <w:rPr>
          <w:rFonts w:hint="eastAsia" w:ascii="仿宋_GB2312" w:hAnsi="仿宋" w:eastAsia="仿宋_GB2312" w:cs="黑体"/>
          <w:sz w:val="32"/>
          <w:szCs w:val="32"/>
          <w:lang w:eastAsia="zh-CN"/>
        </w:rPr>
        <w:t>区图书馆坚持以习近平新时代中国特色社会主义思想为指导，以迎接党的二十大胜利召开为主线，结合“迎盛会、铸忠诚、强担当、创业绩”主题学习宣传教育实践活动工作，在5月18日—24日期间成功举办“深学笃用 天津行动”——第二十届天津市社会科学普及周系列活动。“空中课堂”公益讲座社科普及周“家风”专场、“喜迎二十大 奋进新征程”图片展览及《红色故事绘——“四史”上的今天》优秀的红色电子资源线上推送等活动受到欢迎，进一步满足了读者阅读需求。</w:t>
      </w:r>
    </w:p>
    <w:p>
      <w:pPr>
        <w:autoSpaceDE w:val="0"/>
        <w:autoSpaceDN w:val="0"/>
        <w:adjustRightInd w:val="0"/>
        <w:ind w:firstLine="643" w:firstLineChars="200"/>
        <w:rPr>
          <w:rFonts w:hint="eastAsia" w:ascii="仿宋_GB2312" w:hAnsi="仿宋" w:eastAsia="仿宋_GB2312" w:cs="黑体"/>
          <w:b/>
          <w:sz w:val="32"/>
          <w:szCs w:val="32"/>
          <w:lang w:eastAsia="zh-CN"/>
        </w:rPr>
      </w:pPr>
      <w:r>
        <w:rPr>
          <w:rFonts w:hint="eastAsia" w:ascii="仿宋_GB2312" w:hAnsi="仿宋" w:eastAsia="仿宋_GB2312" w:cs="黑体"/>
          <w:b/>
          <w:sz w:val="32"/>
          <w:szCs w:val="32"/>
          <w:lang w:eastAsia="zh-CN"/>
        </w:rPr>
        <w:t>6、成功举办图书馆服务宣传周活动</w:t>
      </w:r>
    </w:p>
    <w:p>
      <w:pPr>
        <w:autoSpaceDE w:val="0"/>
        <w:autoSpaceDN w:val="0"/>
        <w:adjustRightInd w:val="0"/>
        <w:ind w:firstLine="640" w:firstLineChars="200"/>
        <w:rPr>
          <w:rFonts w:hint="eastAsia" w:ascii="仿宋_GB2312" w:hAnsi="仿宋" w:eastAsia="仿宋_GB2312" w:cs="黑体"/>
          <w:sz w:val="32"/>
          <w:szCs w:val="32"/>
          <w:lang w:eastAsia="zh-CN"/>
        </w:rPr>
      </w:pPr>
      <w:r>
        <w:rPr>
          <w:rFonts w:hint="eastAsia" w:ascii="仿宋_GB2312" w:hAnsi="仿宋" w:eastAsia="仿宋_GB2312" w:cs="黑体"/>
          <w:sz w:val="32"/>
          <w:szCs w:val="32"/>
          <w:lang w:eastAsia="zh-CN"/>
        </w:rPr>
        <w:t>在图书馆服务周期间，开设了“通识学堂”系列课程，通过线上讲座&amp;线上竞答的阅读推广活动形式，引导广大读者深入了解身边的奥秘，探索无尽的自然世界，开阔视野增长知识。开展了多期电子图书、期刊、听书推荐及图片微信展览，在做好疫情防控的同时，增强线上服务功能，吸引更多的人利用图书馆，促进阅读，树立图书馆的良好形象。</w:t>
      </w:r>
    </w:p>
    <w:p>
      <w:pPr>
        <w:autoSpaceDE w:val="0"/>
        <w:autoSpaceDN w:val="0"/>
        <w:adjustRightInd w:val="0"/>
        <w:ind w:firstLine="643" w:firstLineChars="200"/>
        <w:rPr>
          <w:rFonts w:hint="eastAsia" w:ascii="仿宋_GB2312" w:hAnsi="仿宋" w:eastAsia="仿宋_GB2312" w:cs="黑体"/>
          <w:b/>
          <w:sz w:val="32"/>
          <w:szCs w:val="32"/>
          <w:lang w:eastAsia="zh-CN"/>
        </w:rPr>
      </w:pPr>
      <w:r>
        <w:rPr>
          <w:rFonts w:hint="eastAsia" w:ascii="仿宋_GB2312" w:hAnsi="仿宋" w:eastAsia="仿宋_GB2312" w:cs="黑体"/>
          <w:b/>
          <w:sz w:val="32"/>
          <w:szCs w:val="32"/>
          <w:lang w:eastAsia="zh-CN"/>
        </w:rPr>
        <w:t>7、成功举办书香津南·读书月活动</w:t>
      </w:r>
    </w:p>
    <w:p>
      <w:pPr>
        <w:autoSpaceDE w:val="0"/>
        <w:autoSpaceDN w:val="0"/>
        <w:adjustRightInd w:val="0"/>
        <w:ind w:firstLine="640" w:firstLineChars="200"/>
        <w:rPr>
          <w:rFonts w:hint="eastAsia" w:ascii="仿宋_GB2312" w:hAnsi="仿宋" w:eastAsia="仿宋_GB2312" w:cs="黑体"/>
          <w:sz w:val="32"/>
          <w:szCs w:val="32"/>
          <w:lang w:eastAsia="zh-CN"/>
        </w:rPr>
      </w:pPr>
      <w:r>
        <w:rPr>
          <w:rFonts w:hint="eastAsia" w:ascii="仿宋_GB2312" w:hAnsi="仿宋" w:eastAsia="仿宋_GB2312" w:cs="黑体"/>
          <w:sz w:val="32"/>
          <w:szCs w:val="32"/>
          <w:lang w:eastAsia="zh-CN"/>
        </w:rPr>
        <w:t>在书香津南·读书月期间，充分发挥《沽上讲堂》作用，针对不同的读者人群阅读需求，特别推出“阅读指导系列公益讲座。邀请读者喜爱的讲师录制课程，通过官微推送，加强阅读推广指导，提升阅读推广服务能力。通过每天推送电子图书、听书、连环画等优秀电子资源，满足不同读者阅读需求，营造良好阅读氛围。</w:t>
      </w:r>
    </w:p>
    <w:p>
      <w:pPr>
        <w:spacing w:line="600" w:lineRule="exact"/>
        <w:ind w:firstLine="640" w:firstLineChars="200"/>
        <w:jc w:val="both"/>
        <w:rPr>
          <w:rFonts w:ascii="仿宋_GB2312" w:hAnsi="宋体" w:eastAsia="仿宋_GB2312" w:cs="宋体"/>
          <w:sz w:val="32"/>
          <w:szCs w:val="32"/>
          <w:lang w:eastAsia="zh-CN"/>
        </w:rPr>
      </w:pPr>
      <w:r>
        <w:rPr>
          <w:rFonts w:hint="eastAsia" w:ascii="仿宋_GB2312" w:hAnsi="宋体" w:eastAsia="仿宋_GB2312" w:cs="宋体"/>
          <w:sz w:val="32"/>
          <w:szCs w:val="32"/>
          <w:lang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0A9EF4"/>
    <w:multiLevelType w:val="singleLevel"/>
    <w:tmpl w:val="4F0A9EF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jZmU5NWJhZjhlYjI5OGQ0NjIzNmMwZmY5ZDM4NzAifQ=="/>
  </w:docVars>
  <w:rsids>
    <w:rsidRoot w:val="00D27F3A"/>
    <w:rsid w:val="0018594E"/>
    <w:rsid w:val="001F559F"/>
    <w:rsid w:val="002115F8"/>
    <w:rsid w:val="0023167C"/>
    <w:rsid w:val="005D0F6C"/>
    <w:rsid w:val="006C1B32"/>
    <w:rsid w:val="007F1D28"/>
    <w:rsid w:val="00844DE0"/>
    <w:rsid w:val="008F329E"/>
    <w:rsid w:val="00904B0D"/>
    <w:rsid w:val="00AA0951"/>
    <w:rsid w:val="00D02C5B"/>
    <w:rsid w:val="00D06D5F"/>
    <w:rsid w:val="00D10FF2"/>
    <w:rsid w:val="00D27F3A"/>
    <w:rsid w:val="00E85715"/>
    <w:rsid w:val="10A376A2"/>
    <w:rsid w:val="6AF06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EastAsia" w:cstheme="minorBidi"/>
      <w:sz w:val="22"/>
      <w:szCs w:val="22"/>
      <w:lang w:val="en-US" w:eastAsia="en-US" w:bidi="ar-SA"/>
    </w:rPr>
  </w:style>
  <w:style w:type="paragraph" w:styleId="2">
    <w:name w:val="heading 1"/>
    <w:basedOn w:val="1"/>
    <w:next w:val="1"/>
    <w:link w:val="7"/>
    <w:qFormat/>
    <w:uiPriority w:val="1"/>
    <w:pPr>
      <w:outlineLvl w:val="0"/>
    </w:pPr>
    <w:rPr>
      <w:rFonts w:ascii="宋体" w:hAnsi="宋体" w:eastAsia="宋体"/>
      <w:sz w:val="33"/>
      <w:szCs w:val="33"/>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1 Char"/>
    <w:basedOn w:val="6"/>
    <w:link w:val="2"/>
    <w:uiPriority w:val="1"/>
    <w:rPr>
      <w:rFonts w:ascii="宋体" w:hAnsi="宋体" w:eastAsia="宋体"/>
      <w:kern w:val="0"/>
      <w:sz w:val="33"/>
      <w:szCs w:val="33"/>
      <w:lang w:eastAsia="en-US"/>
    </w:rPr>
  </w:style>
  <w:style w:type="character" w:customStyle="1" w:styleId="8">
    <w:name w:val="页眉 Char"/>
    <w:basedOn w:val="6"/>
    <w:link w:val="4"/>
    <w:qFormat/>
    <w:uiPriority w:val="99"/>
    <w:rPr>
      <w:kern w:val="0"/>
      <w:sz w:val="18"/>
      <w:szCs w:val="18"/>
      <w:lang w:eastAsia="en-US"/>
    </w:rPr>
  </w:style>
  <w:style w:type="character" w:customStyle="1" w:styleId="9">
    <w:name w:val="页脚 Char"/>
    <w:basedOn w:val="6"/>
    <w:link w:val="3"/>
    <w:qFormat/>
    <w:uiPriority w:val="99"/>
    <w:rPr>
      <w:kern w:val="0"/>
      <w:sz w:val="18"/>
      <w:szCs w:val="18"/>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8</Pages>
  <Words>505</Words>
  <Characters>2881</Characters>
  <Lines>24</Lines>
  <Paragraphs>6</Paragraphs>
  <TotalTime>12</TotalTime>
  <ScaleCrop>false</ScaleCrop>
  <LinksUpToDate>false</LinksUpToDate>
  <CharactersWithSpaces>3380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2020-08-06T08:16:00Z</dcterms:created>
  <dc:creator>于喆</dc:creator>
  <cp:lastModifiedBy>fy</cp:lastModifiedBy>
  <cp:lastPrinted>2020-08-06T08:24:00Z</cp:lastPrinted>
  <dcterms:modified xsi:type="dcterms:W3CDTF">2023-08-30T02:20:09Z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BE840C26958D4401B99418CDFC73B64A_13</vt:lpwstr>
  </property>
</Properties>
</file>